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758C1" w14:textId="46094502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1200" w:lineRule="atLeast"/>
        <w:jc w:val="center"/>
        <w:rPr>
          <w:rFonts w:ascii="Lexend Mega" w:hAnsi="Lexend Mega" w:cs="Times"/>
          <w:color w:val="000000"/>
          <w:sz w:val="24"/>
          <w:szCs w:val="24"/>
          <w:lang w:val="it-IT"/>
        </w:rPr>
      </w:pPr>
      <w:r w:rsidRPr="006612E4">
        <w:rPr>
          <w:rFonts w:ascii="Lexend Mega" w:hAnsi="Lexend Mega"/>
          <w:color w:val="535353"/>
          <w:sz w:val="104"/>
          <w:szCs w:val="104"/>
          <w:lang w:val="it-IT"/>
        </w:rPr>
        <w:t>KINTSUGI</w:t>
      </w:r>
    </w:p>
    <w:p w14:paraId="3366801B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Lexend Deca" w:hAnsi="Lexend Deca"/>
          <w:i/>
          <w:color w:val="000000"/>
          <w:sz w:val="20"/>
          <w:szCs w:val="20"/>
          <w:lang w:val="it-IT"/>
        </w:rPr>
      </w:pPr>
      <w:r w:rsidRPr="006612E4">
        <w:rPr>
          <w:rFonts w:ascii="Lexend Deca" w:hAnsi="Lexend Deca"/>
          <w:i/>
          <w:color w:val="000000"/>
          <w:sz w:val="20"/>
          <w:szCs w:val="20"/>
          <w:lang w:val="it-IT"/>
        </w:rPr>
        <w:t xml:space="preserve">La ferita è il luogo da cui entra la luce </w:t>
      </w:r>
    </w:p>
    <w:p w14:paraId="7814ACF1" w14:textId="7E4D64BF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Lexend Deca" w:hAnsi="Lexend Deca" w:cs="Times"/>
          <w:i/>
          <w:color w:val="000000"/>
          <w:sz w:val="20"/>
          <w:szCs w:val="20"/>
          <w:lang w:val="it-IT"/>
        </w:rPr>
      </w:pPr>
      <w:r w:rsidRPr="006612E4">
        <w:rPr>
          <w:rFonts w:ascii="Lexend Deca" w:hAnsi="Lexend Deca"/>
          <w:i/>
          <w:color w:val="000000"/>
          <w:sz w:val="20"/>
          <w:szCs w:val="20"/>
          <w:lang w:val="it-IT"/>
        </w:rPr>
        <w:t>Rumi</w:t>
      </w:r>
    </w:p>
    <w:p w14:paraId="22F6F059" w14:textId="7A1EE486" w:rsidR="006612E4" w:rsidRPr="006612E4" w:rsidRDefault="006612E4" w:rsidP="006612E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sz w:val="24"/>
          <w:szCs w:val="24"/>
          <w:lang w:val="it-IT"/>
        </w:rPr>
      </w:pPr>
      <w:r>
        <w:rPr>
          <w:rFonts w:ascii="Times" w:hAnsi="Times" w:cs="Times"/>
          <w:noProof/>
          <w:color w:val="000000"/>
          <w:sz w:val="24"/>
          <w:szCs w:val="24"/>
          <w:lang w:val="it-IT"/>
        </w:rPr>
        <w:drawing>
          <wp:inline distT="0" distB="0" distL="0" distR="0" wp14:anchorId="00D88CDB" wp14:editId="5AFFCFFF">
            <wp:extent cx="5559535" cy="4171709"/>
            <wp:effectExtent l="0" t="0" r="317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3" cy="42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2E4">
        <w:rPr>
          <w:rFonts w:ascii="Lexend Deca" w:hAnsi="Lexend Deca"/>
          <w:b/>
          <w:bCs/>
          <w:color w:val="1A1A1A"/>
          <w:sz w:val="24"/>
          <w:szCs w:val="24"/>
          <w:lang w:val="it-IT"/>
        </w:rPr>
        <w:lastRenderedPageBreak/>
        <w:t xml:space="preserve">L’ISPIRAZIONE </w:t>
      </w:r>
    </w:p>
    <w:p w14:paraId="766F5335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La tecnica del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Kintsugi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, sviluppata in Giappone a partire dal 1600, consiste nell’utilizzare polvere d’oro “per riunire i pezzi di un oggetto di ceramica rotto, rendendolo così un’opera d’arte unica ed evidenziandone le crepe anziché nasconderle”. (Celine Santini) </w:t>
      </w:r>
    </w:p>
    <w:p w14:paraId="27D80008" w14:textId="57E9F92E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>Partendo dai concetti di fr</w:t>
      </w:r>
      <w:r>
        <w:rPr>
          <w:rFonts w:ascii="Lexend Deca" w:hAnsi="Lexend Deca"/>
          <w:color w:val="1A1A1A"/>
          <w:sz w:val="24"/>
          <w:szCs w:val="24"/>
          <w:lang w:val="it-IT"/>
        </w:rPr>
        <w:t xml:space="preserve">attura, rottura e distanza, </w:t>
      </w:r>
      <w:proofErr w:type="spellStart"/>
      <w:r>
        <w:rPr>
          <w:rFonts w:ascii="Lexend Deca" w:hAnsi="Lexend Deca"/>
          <w:color w:val="1A1A1A"/>
          <w:sz w:val="24"/>
          <w:szCs w:val="24"/>
          <w:lang w:val="it-IT"/>
        </w:rPr>
        <w:t>O’Cy</w:t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>pher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Company utilizza il simbolismo di questa antica arte per creare un rituale collettivo il cui scopo è esorcizzare i traumi che ci appesantiscono rielaborandoli attraverso un'esperienza di consapevolezza profondamente intima, da un lato, e di sincera condivisione con la comunità dall’altro. La performance è interattiva e partecipativa: il pubblico non è solo spettatore ma diviene attore e co-creatore dell’opera d’arte stessa. </w:t>
      </w:r>
    </w:p>
    <w:p w14:paraId="2485FC6A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L’oro è da sempre associato al denaro. L’umanità ha lottato, scavato fossati, innalzato trincee, si è divisa ed è arrivata ad uccidere per ottenerlo. L’arte giapponese ci insegna invece che questo prezioso metallo può diventare uno strumento per unire, riallacciare e rendere compatibili tra loro parti che sembravano non esserlo più. Addirittura è possibile creare nuove forme, unendo frammenti di composizioni ormai distrutte, più forti e resistenti proprio grazie al processo di ricostruzione. </w:t>
      </w:r>
    </w:p>
    <w:p w14:paraId="43312940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Kintsugi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è un invito a svelare le proprie ferite e fratture, e a onorarle trattandole non più come segni di cui vergognarsi né da tenere nascosti, ma come elementi da valorizzare, da adornare e da lasciare risplendere come i più preziosi tra i gioielli. </w:t>
      </w:r>
    </w:p>
    <w:p w14:paraId="507933D6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/>
          <w:b/>
          <w:bCs/>
          <w:color w:val="1A1A1A"/>
          <w:sz w:val="24"/>
          <w:szCs w:val="24"/>
          <w:lang w:val="it-IT"/>
        </w:rPr>
      </w:pPr>
    </w:p>
    <w:p w14:paraId="54C68011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/>
          <w:b/>
          <w:bCs/>
          <w:color w:val="1A1A1A"/>
          <w:sz w:val="24"/>
          <w:szCs w:val="24"/>
          <w:lang w:val="it-IT"/>
        </w:rPr>
      </w:pPr>
    </w:p>
    <w:p w14:paraId="500865AC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b/>
          <w:bCs/>
          <w:color w:val="1A1A1A"/>
          <w:sz w:val="24"/>
          <w:szCs w:val="24"/>
          <w:lang w:val="it-IT"/>
        </w:rPr>
        <w:lastRenderedPageBreak/>
        <w:t xml:space="preserve">LA PERFORMANCE </w:t>
      </w:r>
    </w:p>
    <w:p w14:paraId="6D316720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>Il progetto è suddiviso in tre momenti, il primo dei quali vede le due performer impegnate a raccontare, attraverso la danza e il movimento, il trauma, una ferita che avviene in maniera improvvisa e violenta.</w:t>
      </w:r>
      <w:r w:rsidRPr="006612E4">
        <w:rPr>
          <w:rFonts w:ascii="MS Mincho" w:eastAsia="MS Mincho" w:hAnsi="MS Mincho" w:cs="MS Mincho"/>
          <w:color w:val="1A1A1A"/>
          <w:sz w:val="24"/>
          <w:szCs w:val="24"/>
          <w:lang w:val="it-IT"/>
        </w:rPr>
        <w:t> </w:t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Successivamente, il pubblico viene invitato a raggiungere una postazione dotata di piatti e pennarelli color oro. Ognuno può consegnare al piatto, tracciando un disegno o scrivendo una breve frase, il proprio trauma, disagio o dolore, per poi, grazie a un piccolo martello, liberare l’energia emotiva di quanto scritto rompendo il piatto! </w:t>
      </w:r>
    </w:p>
    <w:p w14:paraId="1B4E2931" w14:textId="34C84BA1" w:rsidR="006612E4" w:rsidRPr="006612E4" w:rsidRDefault="006612E4" w:rsidP="006612E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 w:cs="Times"/>
          <w:noProof/>
          <w:color w:val="000000"/>
          <w:sz w:val="24"/>
          <w:szCs w:val="24"/>
          <w:lang w:val="it-IT"/>
        </w:rPr>
        <w:drawing>
          <wp:inline distT="0" distB="0" distL="0" distR="0" wp14:anchorId="0EA056FF" wp14:editId="32E275A7">
            <wp:extent cx="5427980" cy="3587115"/>
            <wp:effectExtent l="0" t="0" r="762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2E4">
        <w:rPr>
          <w:rFonts w:ascii="Lexend Deca" w:hAnsi="Lexend Deca" w:cs="Times"/>
          <w:color w:val="000000"/>
          <w:sz w:val="24"/>
          <w:szCs w:val="24"/>
          <w:lang w:val="it-IT"/>
        </w:rPr>
        <w:t xml:space="preserve"> </w:t>
      </w:r>
    </w:p>
    <w:p w14:paraId="2D1EC945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/>
          <w:color w:val="1A1A1A"/>
          <w:sz w:val="24"/>
          <w:szCs w:val="24"/>
          <w:lang w:val="it-IT"/>
        </w:rPr>
      </w:pPr>
    </w:p>
    <w:p w14:paraId="208F0C4D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Nell’ultima parte, attraverso la tecnica del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kintsugi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e un passaggio di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contact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lastRenderedPageBreak/>
        <w:t>improvisation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, la frattura viene ricomposta, i cocci riuniti,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riassemblati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e impreziositi e si lascia spazio alla fiducia e alla speranza.</w:t>
      </w:r>
      <w:r w:rsidRPr="006612E4">
        <w:rPr>
          <w:rFonts w:ascii="MS Mincho" w:eastAsia="MS Mincho" w:hAnsi="MS Mincho" w:cs="MS Mincho"/>
          <w:color w:val="1A1A1A"/>
          <w:sz w:val="24"/>
          <w:szCs w:val="24"/>
          <w:lang w:val="it-IT"/>
        </w:rPr>
        <w:t> </w:t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La scultura derivante dalla performance verrà poi consegnata in dono agli organizzatori dell’evento e resterà a memoria dell’esperienza vissuta. </w:t>
      </w:r>
    </w:p>
    <w:p w14:paraId="2AD7B519" w14:textId="16AE773D" w:rsidR="006612E4" w:rsidRPr="006612E4" w:rsidRDefault="006612E4" w:rsidP="006612E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 w:cs="Times"/>
          <w:noProof/>
          <w:color w:val="000000"/>
          <w:sz w:val="24"/>
          <w:szCs w:val="24"/>
          <w:lang w:val="it-IT"/>
        </w:rPr>
        <w:drawing>
          <wp:inline distT="0" distB="0" distL="0" distR="0" wp14:anchorId="38363946" wp14:editId="301AFED1">
            <wp:extent cx="2672715" cy="296608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2E4">
        <w:rPr>
          <w:rFonts w:ascii="Lexend Deca" w:hAnsi="Lexend Deca" w:cs="Times"/>
          <w:color w:val="000000"/>
          <w:sz w:val="24"/>
          <w:szCs w:val="24"/>
          <w:lang w:val="it-IT"/>
        </w:rPr>
        <w:t xml:space="preserve"> </w:t>
      </w:r>
      <w:r w:rsidRPr="006612E4">
        <w:rPr>
          <w:rFonts w:ascii="Lexend Deca" w:hAnsi="Lexend Deca" w:cs="Times"/>
          <w:noProof/>
          <w:color w:val="000000"/>
          <w:sz w:val="24"/>
          <w:szCs w:val="24"/>
          <w:lang w:val="it-IT"/>
        </w:rPr>
        <w:drawing>
          <wp:inline distT="0" distB="0" distL="0" distR="0" wp14:anchorId="13400019" wp14:editId="51CFC972">
            <wp:extent cx="2790190" cy="2907030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7244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/>
          <w:i/>
          <w:iCs/>
          <w:color w:val="1A1A1A"/>
          <w:sz w:val="24"/>
          <w:szCs w:val="24"/>
          <w:lang w:val="it-IT"/>
        </w:rPr>
      </w:pPr>
    </w:p>
    <w:p w14:paraId="304B52BB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/>
          <w:i/>
          <w:iCs/>
          <w:color w:val="1A1A1A"/>
          <w:sz w:val="24"/>
          <w:szCs w:val="24"/>
          <w:lang w:val="it-IT"/>
        </w:rPr>
      </w:pPr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“Niente è mai veramente rotto o perduto, la cicatrice è una porta da cui la luce può entrare in noi, se sappiamo impreziosirla con l’oro, anziché nasconderla nel buio. Il </w:t>
      </w:r>
      <w:proofErr w:type="spellStart"/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>kintsugi</w:t>
      </w:r>
      <w:proofErr w:type="spellEnd"/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 ci insegna anche ad apprezzare di più le cose che abbiamo, evitando di essere consumatori distratti. Il </w:t>
      </w:r>
      <w:proofErr w:type="spellStart"/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>kintsugi</w:t>
      </w:r>
      <w:proofErr w:type="spellEnd"/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 ci insegna a trasformare la percezione delle nostre debolezze e fragilità, ci consente di apprezzarle come segni della nostra bellezza e della nostra possibilità di risplendere” </w:t>
      </w:r>
    </w:p>
    <w:p w14:paraId="7D50905F" w14:textId="77777777" w:rsid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>Selene Calloni Will</w:t>
      </w:r>
      <w:bookmarkStart w:id="0" w:name="_GoBack"/>
      <w:bookmarkEnd w:id="0"/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>iams</w:t>
      </w:r>
    </w:p>
    <w:p w14:paraId="54B190D2" w14:textId="16BF8094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b/>
          <w:bCs/>
          <w:color w:val="1A1A1A"/>
          <w:sz w:val="24"/>
          <w:szCs w:val="24"/>
          <w:lang w:val="it-IT"/>
        </w:rPr>
        <w:t xml:space="preserve">ELEMENTI TECNICI </w:t>
      </w:r>
    </w:p>
    <w:p w14:paraId="3B0DADAB" w14:textId="77112B46" w:rsidR="006612E4" w:rsidRPr="006612E4" w:rsidRDefault="006612E4" w:rsidP="006612E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lastRenderedPageBreak/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>
        <w:rPr>
          <w:rFonts w:ascii="Lexend Deca" w:hAnsi="Lexend Deca"/>
          <w:color w:val="1A1A1A"/>
          <w:sz w:val="24"/>
          <w:szCs w:val="24"/>
          <w:lang w:val="it-IT"/>
        </w:rPr>
        <w:t>-  Durata: 50</w:t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minuti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16CC49BF" w14:textId="77777777" w:rsidR="006612E4" w:rsidRPr="006612E4" w:rsidRDefault="006612E4" w:rsidP="006612E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 Montaggio: 60 minuti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3635E8F2" w14:textId="77777777" w:rsidR="006612E4" w:rsidRPr="006612E4" w:rsidRDefault="006612E4" w:rsidP="006612E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 Smontaggio: 60 minuti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4D366D78" w14:textId="77777777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NB: la performance può essere replicata fino a 6 volte in un’unica giornata </w:t>
      </w:r>
    </w:p>
    <w:p w14:paraId="3C128177" w14:textId="77777777" w:rsidR="006612E4" w:rsidRPr="006612E4" w:rsidRDefault="006612E4" w:rsidP="006612E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 Spazio scenico richiesto: 8*8 mq, piano di calpestio regolare e pianeggiante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2CFD8926" w14:textId="68B61A3B" w:rsidR="006612E4" w:rsidRPr="006612E4" w:rsidRDefault="006612E4" w:rsidP="006612E4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 24 sedute poste sul perimetro dello spazio scenico, 6 per ogni lato (la compagnia può dotarsi di appositi sgabelli)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NB: La performance è adatta a ospitare </w:t>
      </w:r>
      <w:r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circa </w:t>
      </w:r>
      <w:r w:rsidRPr="006612E4">
        <w:rPr>
          <w:rFonts w:ascii="Lexend Deca" w:hAnsi="Lexend Deca"/>
          <w:i/>
          <w:iCs/>
          <w:color w:val="1A1A1A"/>
          <w:sz w:val="24"/>
          <w:szCs w:val="24"/>
          <w:lang w:val="it-IT"/>
        </w:rPr>
        <w:t xml:space="preserve">24 spettatori per ogni replica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15834542" w14:textId="4BB46F2D" w:rsidR="006612E4" w:rsidRPr="006612E4" w:rsidRDefault="006612E4" w:rsidP="006612E4">
      <w:pPr>
        <w:widowControl w:val="0"/>
        <w:autoSpaceDE w:val="0"/>
        <w:autoSpaceDN w:val="0"/>
        <w:adjustRightInd w:val="0"/>
        <w:spacing w:after="240" w:line="340" w:lineRule="atLeast"/>
        <w:ind w:firstLine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</w:t>
      </w:r>
      <w:r>
        <w:rPr>
          <w:rFonts w:ascii="Lexend Deca" w:hAnsi="Lexend Deca"/>
          <w:color w:val="1A1A1A"/>
          <w:sz w:val="24"/>
          <w:szCs w:val="24"/>
          <w:lang w:val="it-IT"/>
        </w:rPr>
        <w:t xml:space="preserve"> </w:t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Postazione di rottura dei piatti con 12 tavoli </w:t>
      </w:r>
    </w:p>
    <w:p w14:paraId="16C4D00C" w14:textId="77777777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-  Impianto audio accessibile dalla scena, adatto alle dimensioni della sala </w:t>
      </w:r>
      <w:r w:rsidRPr="006612E4">
        <w:rPr>
          <w:rFonts w:ascii="MS Mincho" w:eastAsia="MS Mincho" w:hAnsi="MS Mincho" w:cs="MS Mincho"/>
          <w:color w:val="000000"/>
          <w:sz w:val="24"/>
          <w:szCs w:val="24"/>
          <w:lang w:val="it-IT"/>
        </w:rPr>
        <w:t> </w:t>
      </w:r>
    </w:p>
    <w:p w14:paraId="6807CA35" w14:textId="77777777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kern w:val="1"/>
          <w:sz w:val="24"/>
          <w:szCs w:val="24"/>
          <w:lang w:val="it-IT"/>
        </w:rPr>
        <w:tab/>
      </w:r>
    </w:p>
    <w:p w14:paraId="78CD498E" w14:textId="4774D2A1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b/>
          <w:bCs/>
          <w:color w:val="1A1A1A"/>
          <w:sz w:val="24"/>
          <w:szCs w:val="24"/>
          <w:lang w:val="it-IT"/>
        </w:rPr>
        <w:t>CREDITS</w:t>
      </w:r>
    </w:p>
    <w:p w14:paraId="7F389BB9" w14:textId="77777777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Da un’idea di Chiara </w:t>
      </w:r>
      <w:proofErr w:type="spellStart"/>
      <w:r w:rsidRPr="006612E4">
        <w:rPr>
          <w:rFonts w:ascii="Lexend Deca" w:hAnsi="Lexend Deca"/>
          <w:color w:val="1A1A1A"/>
          <w:sz w:val="24"/>
          <w:szCs w:val="24"/>
          <w:lang w:val="it-IT"/>
        </w:rPr>
        <w:t>Crovetto</w:t>
      </w:r>
      <w:proofErr w:type="spellEnd"/>
      <w:r w:rsidRPr="006612E4">
        <w:rPr>
          <w:rFonts w:ascii="Lexend Deca" w:hAnsi="Lexend Deca"/>
          <w:color w:val="1A1A1A"/>
          <w:sz w:val="24"/>
          <w:szCs w:val="24"/>
          <w:lang w:val="it-IT"/>
        </w:rPr>
        <w:t xml:space="preserve"> e Alessia Nava</w:t>
      </w:r>
    </w:p>
    <w:p w14:paraId="641A0124" w14:textId="54AA9C37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>
        <w:rPr>
          <w:rFonts w:ascii="Lexend Deca" w:hAnsi="Lexend Deca"/>
          <w:color w:val="1A1A1A"/>
          <w:sz w:val="24"/>
          <w:szCs w:val="24"/>
          <w:lang w:val="it-IT"/>
        </w:rPr>
        <w:t>Regia di Carlo Compare</w:t>
      </w:r>
    </w:p>
    <w:p w14:paraId="2BCE0CE5" w14:textId="77777777" w:rsidR="006612E4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>Coreografia e interpretazione di</w:t>
      </w:r>
      <w:r>
        <w:rPr>
          <w:rFonts w:ascii="Lexend Deca" w:hAnsi="Lexend Deca"/>
          <w:color w:val="1A1A1A"/>
          <w:sz w:val="24"/>
          <w:szCs w:val="24"/>
          <w:lang w:val="it-IT"/>
        </w:rPr>
        <w:t xml:space="preserve"> Chiara </w:t>
      </w:r>
      <w:proofErr w:type="spellStart"/>
      <w:r>
        <w:rPr>
          <w:rFonts w:ascii="Lexend Deca" w:hAnsi="Lexend Deca"/>
          <w:color w:val="1A1A1A"/>
          <w:sz w:val="24"/>
          <w:szCs w:val="24"/>
          <w:lang w:val="it-IT"/>
        </w:rPr>
        <w:t>Crovetto</w:t>
      </w:r>
      <w:proofErr w:type="spellEnd"/>
      <w:r>
        <w:rPr>
          <w:rFonts w:ascii="Lexend Deca" w:hAnsi="Lexend Deca"/>
          <w:color w:val="1A1A1A"/>
          <w:sz w:val="24"/>
          <w:szCs w:val="24"/>
          <w:lang w:val="it-IT"/>
        </w:rPr>
        <w:t xml:space="preserve"> e Alessia Nava</w:t>
      </w:r>
    </w:p>
    <w:p w14:paraId="0B7C0D78" w14:textId="7F0A38CB" w:rsidR="009E7DF8" w:rsidRPr="006612E4" w:rsidRDefault="006612E4" w:rsidP="006612E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jc w:val="both"/>
        <w:rPr>
          <w:rFonts w:ascii="Lexend Deca" w:hAnsi="Lexend Deca" w:cs="Times"/>
          <w:color w:val="000000"/>
          <w:sz w:val="24"/>
          <w:szCs w:val="24"/>
          <w:lang w:val="it-IT"/>
        </w:rPr>
      </w:pPr>
      <w:r w:rsidRPr="006612E4">
        <w:rPr>
          <w:rFonts w:ascii="Lexend Deca" w:hAnsi="Lexend Deca"/>
          <w:color w:val="1A1A1A"/>
          <w:sz w:val="24"/>
          <w:szCs w:val="24"/>
          <w:lang w:val="it-IT"/>
        </w:rPr>
        <w:t>Musiche, mixing e sound desi</w:t>
      </w:r>
      <w:r>
        <w:rPr>
          <w:rFonts w:ascii="Lexend Deca" w:hAnsi="Lexend Deca"/>
          <w:color w:val="1A1A1A"/>
          <w:sz w:val="24"/>
          <w:szCs w:val="24"/>
          <w:lang w:val="it-IT"/>
        </w:rPr>
        <w:t xml:space="preserve">gn a cura di Francesco </w:t>
      </w:r>
      <w:proofErr w:type="spellStart"/>
      <w:r>
        <w:rPr>
          <w:rFonts w:ascii="Lexend Deca" w:hAnsi="Lexend Deca"/>
          <w:color w:val="1A1A1A"/>
          <w:sz w:val="24"/>
          <w:szCs w:val="24"/>
          <w:lang w:val="it-IT"/>
        </w:rPr>
        <w:t>Crovetto</w:t>
      </w:r>
      <w:proofErr w:type="spellEnd"/>
    </w:p>
    <w:sectPr w:rsidR="009E7DF8" w:rsidRPr="006612E4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1133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233AA" w14:textId="77777777" w:rsidR="009F3D81" w:rsidRDefault="009F3D81">
      <w:pPr>
        <w:spacing w:line="240" w:lineRule="auto"/>
      </w:pPr>
      <w:r>
        <w:separator/>
      </w:r>
    </w:p>
  </w:endnote>
  <w:endnote w:type="continuationSeparator" w:id="0">
    <w:p w14:paraId="39AE4B61" w14:textId="77777777" w:rsidR="009F3D81" w:rsidRDefault="009F3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exend Mega">
    <w:panose1 w:val="00000000000000000000"/>
    <w:charset w:val="00"/>
    <w:family w:val="auto"/>
    <w:pitch w:val="variable"/>
    <w:sig w:usb0="A00000FF" w:usb1="C000205B" w:usb2="00000000" w:usb3="00000000" w:csb0="00000193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exend Deca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exend Mega Light">
    <w:altName w:val="Times New Roman"/>
    <w:charset w:val="00"/>
    <w:family w:val="auto"/>
    <w:pitch w:val="default"/>
  </w:font>
  <w:font w:name="Lexend Deca Th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FF3B7" w14:textId="77777777" w:rsidR="009E7DF8" w:rsidRDefault="009E7DF8">
    <w:pPr>
      <w:rPr>
        <w:rFonts w:ascii="Lexend Mega Light" w:eastAsia="Lexend Mega Light" w:hAnsi="Lexend Mega Light" w:cs="Lexend Mega Light"/>
        <w:sz w:val="19"/>
        <w:szCs w:val="19"/>
        <w:highlight w:val="white"/>
      </w:rPr>
    </w:pPr>
  </w:p>
  <w:p w14:paraId="38F58826" w14:textId="77777777" w:rsidR="009E7DF8" w:rsidRDefault="00765E90">
    <w:pPr>
      <w:jc w:val="right"/>
      <w:rPr>
        <w:rFonts w:ascii="Lexend Mega Light" w:eastAsia="Lexend Mega Light" w:hAnsi="Lexend Mega Light" w:cs="Lexend Mega Light"/>
        <w:sz w:val="19"/>
        <w:szCs w:val="19"/>
        <w:highlight w:val="white"/>
      </w:rPr>
    </w:pPr>
    <w:r>
      <w:rPr>
        <w:rFonts w:ascii="Lexend Mega Light" w:eastAsia="Lexend Mega Light" w:hAnsi="Lexend Mega Light" w:cs="Lexend Mega Light"/>
        <w:noProof/>
        <w:sz w:val="19"/>
        <w:szCs w:val="19"/>
        <w:highlight w:val="white"/>
        <w:lang w:val="it-IT"/>
      </w:rPr>
      <w:drawing>
        <wp:inline distT="114300" distB="114300" distL="114300" distR="114300" wp14:anchorId="07C16460" wp14:editId="213477FD">
          <wp:extent cx="859163" cy="84552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163" cy="845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058A99" w14:textId="77777777" w:rsidR="006612E4" w:rsidRPr="00FF07BF" w:rsidRDefault="006612E4" w:rsidP="006612E4">
    <w:pPr>
      <w:jc w:val="right"/>
      <w:rPr>
        <w:rFonts w:ascii="Lexend Deca Thin" w:eastAsia="Lexend Mega Light" w:hAnsi="Lexend Deca Thin" w:cs="Lexend Mega Light"/>
        <w:sz w:val="19"/>
        <w:szCs w:val="19"/>
        <w:highlight w:val="white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O'Cypher APS</w:t>
    </w:r>
  </w:p>
  <w:p w14:paraId="4EA2F542" w14:textId="77777777" w:rsidR="006612E4" w:rsidRPr="00FF07BF" w:rsidRDefault="006612E4" w:rsidP="006612E4">
    <w:pPr>
      <w:jc w:val="right"/>
      <w:rPr>
        <w:rFonts w:ascii="Lexend Deca Thin" w:eastAsia="Lexend Mega Light" w:hAnsi="Lexend Deca Thin" w:cs="Lexend Mega Light"/>
        <w:sz w:val="19"/>
        <w:szCs w:val="19"/>
        <w:highlight w:val="white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Via Monte Cervino 51, Seriate, 24068</w:t>
    </w:r>
  </w:p>
  <w:p w14:paraId="38657036" w14:textId="41E4789F" w:rsidR="009E7DF8" w:rsidRPr="00A76F22" w:rsidRDefault="006612E4" w:rsidP="00A76F22">
    <w:pPr>
      <w:jc w:val="right"/>
      <w:rPr>
        <w:rFonts w:ascii="Lexend Deca Thin" w:hAnsi="Lexend Deca Thin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CF 95198560161 PI 03905890160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DE4F1" w14:textId="77777777" w:rsidR="009E7DF8" w:rsidRDefault="009E7DF8">
    <w:pPr>
      <w:rPr>
        <w:rFonts w:ascii="Lexend Mega Light" w:eastAsia="Lexend Mega Light" w:hAnsi="Lexend Mega Light" w:cs="Lexend Mega Light"/>
        <w:sz w:val="19"/>
        <w:szCs w:val="19"/>
        <w:highlight w:val="white"/>
      </w:rPr>
    </w:pPr>
  </w:p>
  <w:p w14:paraId="71B4E8E9" w14:textId="77777777" w:rsidR="009E7DF8" w:rsidRDefault="00765E90">
    <w:pPr>
      <w:jc w:val="right"/>
      <w:rPr>
        <w:rFonts w:ascii="Lexend Mega Light" w:eastAsia="Lexend Mega Light" w:hAnsi="Lexend Mega Light" w:cs="Lexend Mega Light"/>
        <w:sz w:val="19"/>
        <w:szCs w:val="19"/>
        <w:highlight w:val="white"/>
      </w:rPr>
    </w:pPr>
    <w:r>
      <w:rPr>
        <w:rFonts w:ascii="Lexend Mega Light" w:eastAsia="Lexend Mega Light" w:hAnsi="Lexend Mega Light" w:cs="Lexend Mega Light"/>
        <w:noProof/>
        <w:sz w:val="19"/>
        <w:szCs w:val="19"/>
        <w:highlight w:val="white"/>
        <w:lang w:val="it-IT"/>
      </w:rPr>
      <w:drawing>
        <wp:inline distT="114300" distB="114300" distL="114300" distR="114300" wp14:anchorId="27B8A457" wp14:editId="71855533">
          <wp:extent cx="859163" cy="84552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163" cy="845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581A1F" w14:textId="77777777" w:rsidR="009E7DF8" w:rsidRPr="00FF07BF" w:rsidRDefault="00765E90">
    <w:pPr>
      <w:jc w:val="right"/>
      <w:rPr>
        <w:rFonts w:ascii="Lexend Deca Thin" w:eastAsia="Lexend Mega Light" w:hAnsi="Lexend Deca Thin" w:cs="Lexend Mega Light"/>
        <w:sz w:val="19"/>
        <w:szCs w:val="19"/>
        <w:highlight w:val="white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O'Cypher APS</w:t>
    </w:r>
  </w:p>
  <w:p w14:paraId="02EEEB43" w14:textId="77777777" w:rsidR="009E7DF8" w:rsidRPr="00FF07BF" w:rsidRDefault="00765E90">
    <w:pPr>
      <w:jc w:val="right"/>
      <w:rPr>
        <w:rFonts w:ascii="Lexend Deca Thin" w:eastAsia="Lexend Mega Light" w:hAnsi="Lexend Deca Thin" w:cs="Lexend Mega Light"/>
        <w:sz w:val="19"/>
        <w:szCs w:val="19"/>
        <w:highlight w:val="white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Via Monte Cervino 51, Seriate, 24068</w:t>
    </w:r>
  </w:p>
  <w:p w14:paraId="22C40E35" w14:textId="77777777" w:rsidR="009E7DF8" w:rsidRPr="00FF07BF" w:rsidRDefault="00765E90">
    <w:pPr>
      <w:jc w:val="right"/>
      <w:rPr>
        <w:rFonts w:ascii="Lexend Deca Thin" w:hAnsi="Lexend Deca Thin"/>
      </w:rPr>
    </w:pPr>
    <w:r w:rsidRPr="00FF07BF">
      <w:rPr>
        <w:rFonts w:ascii="Lexend Deca Thin" w:eastAsia="Lexend Mega Light" w:hAnsi="Lexend Deca Thin" w:cs="Lexend Mega Light"/>
        <w:sz w:val="19"/>
        <w:szCs w:val="19"/>
        <w:highlight w:val="white"/>
      </w:rPr>
      <w:t>CF 95198560161 PI 03905890160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75E15" w14:textId="77777777" w:rsidR="009F3D81" w:rsidRDefault="009F3D81">
      <w:pPr>
        <w:spacing w:line="240" w:lineRule="auto"/>
      </w:pPr>
      <w:r>
        <w:separator/>
      </w:r>
    </w:p>
  </w:footnote>
  <w:footnote w:type="continuationSeparator" w:id="0">
    <w:p w14:paraId="0FC314C6" w14:textId="77777777" w:rsidR="009F3D81" w:rsidRDefault="009F3D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DA939" w14:textId="77777777" w:rsidR="009E7DF8" w:rsidRDefault="00765E90">
    <w:pPr>
      <w:jc w:val="center"/>
    </w:pPr>
    <w:r>
      <w:rPr>
        <w:noProof/>
        <w:lang w:val="it-IT"/>
      </w:rPr>
      <w:drawing>
        <wp:inline distT="114300" distB="114300" distL="114300" distR="114300" wp14:anchorId="47197471" wp14:editId="3694DBCF">
          <wp:extent cx="2527463" cy="12206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463" cy="122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81EC76" w14:textId="77777777" w:rsidR="009E7DF8" w:rsidRDefault="009E7DF8">
    <w:pPr>
      <w:jc w:val="center"/>
    </w:pPr>
  </w:p>
  <w:p w14:paraId="22595558" w14:textId="77777777" w:rsidR="009E7DF8" w:rsidRDefault="009E7DF8">
    <w:pPr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3F960" w14:textId="77777777" w:rsidR="009E7DF8" w:rsidRDefault="00765E90">
    <w:pPr>
      <w:jc w:val="center"/>
    </w:pPr>
    <w:r>
      <w:rPr>
        <w:noProof/>
        <w:lang w:val="it-IT"/>
      </w:rPr>
      <w:drawing>
        <wp:inline distT="114300" distB="114300" distL="114300" distR="114300" wp14:anchorId="74EBF8D4" wp14:editId="1BB5C7A4">
          <wp:extent cx="3786188" cy="18302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86188" cy="18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A2AA98" w14:textId="77777777" w:rsidR="009E7DF8" w:rsidRDefault="009E7DF8">
    <w:pPr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F8"/>
    <w:rsid w:val="001B04C2"/>
    <w:rsid w:val="002F43B8"/>
    <w:rsid w:val="00404C10"/>
    <w:rsid w:val="006612E4"/>
    <w:rsid w:val="0072555F"/>
    <w:rsid w:val="00765E90"/>
    <w:rsid w:val="00966290"/>
    <w:rsid w:val="009E7DF8"/>
    <w:rsid w:val="009F3D81"/>
    <w:rsid w:val="00A76F22"/>
    <w:rsid w:val="00D44BBC"/>
    <w:rsid w:val="00D671BE"/>
    <w:rsid w:val="00F14A4B"/>
    <w:rsid w:val="00F674DD"/>
    <w:rsid w:val="00FA3639"/>
    <w:rsid w:val="00FF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2977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tandard">
    <w:name w:val="Standard"/>
    <w:rsid w:val="00FA3639"/>
    <w:pPr>
      <w:widowControl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FA363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3639"/>
  </w:style>
  <w:style w:type="paragraph" w:styleId="Pidipagina">
    <w:name w:val="footer"/>
    <w:basedOn w:val="Normale"/>
    <w:link w:val="PidipaginaCarattere"/>
    <w:uiPriority w:val="99"/>
    <w:unhideWhenUsed/>
    <w:rsid w:val="00FA363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3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7A797BBE-727E-2B4D-9C58-3A896DEC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569</Words>
  <Characters>3248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3</cp:revision>
  <cp:lastPrinted>2022-11-30T13:42:00Z</cp:lastPrinted>
  <dcterms:created xsi:type="dcterms:W3CDTF">2022-11-30T13:42:00Z</dcterms:created>
  <dcterms:modified xsi:type="dcterms:W3CDTF">2022-11-30T13:42:00Z</dcterms:modified>
</cp:coreProperties>
</file>